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70" w:rsidRDefault="00163570" w:rsidP="00163570">
      <w:pPr>
        <w:spacing w:after="37" w:line="240" w:lineRule="auto"/>
        <w:ind w:left="0" w:firstLine="0"/>
        <w:jc w:val="center"/>
      </w:pPr>
      <w:r>
        <w:rPr>
          <w:b/>
          <w:sz w:val="24"/>
          <w:u w:val="single" w:color="000000"/>
        </w:rPr>
        <w:t>CV of Moriam Khanam</w:t>
      </w:r>
      <w:r>
        <w:rPr>
          <w:b/>
          <w:sz w:val="24"/>
        </w:rPr>
        <w:t xml:space="preserve"> </w:t>
      </w:r>
    </w:p>
    <w:p w:rsidR="00163570" w:rsidRDefault="00163570" w:rsidP="00163570">
      <w:pPr>
        <w:spacing w:after="14" w:line="240" w:lineRule="auto"/>
        <w:ind w:right="-15"/>
        <w:jc w:val="left"/>
      </w:pPr>
      <w:r>
        <w:rPr>
          <w:b/>
        </w:rPr>
        <w:t xml:space="preserve">Moriam Khanam </w:t>
      </w:r>
    </w:p>
    <w:p w:rsidR="00163570" w:rsidRDefault="00163570" w:rsidP="00163570">
      <w:r>
        <w:t xml:space="preserve">Country of Birth: Bangladesh  </w:t>
      </w:r>
    </w:p>
    <w:p w:rsidR="00163570" w:rsidRDefault="00163570" w:rsidP="00163570">
      <w:r>
        <w:t xml:space="preserve">Citizenship: Bangladeshi  </w:t>
      </w:r>
    </w:p>
    <w:p w:rsidR="00163570" w:rsidRDefault="00163570" w:rsidP="00163570">
      <w:pPr>
        <w:spacing w:after="3" w:line="240" w:lineRule="auto"/>
        <w:ind w:left="0" w:firstLine="0"/>
        <w:jc w:val="left"/>
      </w:pPr>
      <w:r>
        <w:t xml:space="preserve">Email: </w:t>
      </w:r>
      <w:r w:rsidR="00812D4D">
        <w:rPr>
          <w:color w:val="0563C1"/>
          <w:u w:val="single" w:color="0563C1"/>
        </w:rPr>
        <w:t>moriam.ihe@du.ac.bd</w:t>
      </w:r>
    </w:p>
    <w:p w:rsidR="00163570" w:rsidRDefault="00163570" w:rsidP="00163570">
      <w:pPr>
        <w:spacing w:after="32" w:line="240" w:lineRule="auto"/>
        <w:ind w:left="0" w:firstLine="0"/>
        <w:jc w:val="left"/>
      </w:pPr>
      <w:r>
        <w:rPr>
          <w:b/>
        </w:rPr>
        <w:t xml:space="preserve"> </w:t>
      </w:r>
    </w:p>
    <w:p w:rsidR="00163570" w:rsidRDefault="001D044B" w:rsidP="00163570">
      <w:pPr>
        <w:spacing w:after="14" w:line="240" w:lineRule="auto"/>
        <w:ind w:right="-15"/>
        <w:jc w:val="left"/>
      </w:pPr>
      <w:r>
        <w:rPr>
          <w:b/>
        </w:rPr>
        <w:t>Current Position</w:t>
      </w: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1759"/>
        <w:gridCol w:w="720"/>
        <w:gridCol w:w="682"/>
        <w:gridCol w:w="5299"/>
      </w:tblGrid>
      <w:tr w:rsidR="001B546C" w:rsidTr="00566FDF">
        <w:trPr>
          <w:trHeight w:val="249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E853CC">
            <w:pPr>
              <w:pStyle w:val="ListParagraph"/>
              <w:spacing w:after="0" w:line="276" w:lineRule="auto"/>
              <w:ind w:firstLine="0"/>
              <w:jc w:val="left"/>
              <w:rPr>
                <w:b/>
              </w:rPr>
            </w:pPr>
            <w:r w:rsidRPr="003414F6">
              <w:rPr>
                <w:b/>
              </w:rPr>
              <w:t>Position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D803A4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D803A4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A62A36" w:rsidRDefault="001B546C" w:rsidP="00D803A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Lecturer</w:t>
            </w:r>
          </w:p>
        </w:tc>
      </w:tr>
      <w:tr w:rsidR="001B546C" w:rsidTr="00566FDF">
        <w:trPr>
          <w:trHeight w:val="249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1B546C">
            <w:pPr>
              <w:pStyle w:val="ListParagraph"/>
              <w:spacing w:after="0" w:line="276" w:lineRule="auto"/>
              <w:ind w:firstLine="0"/>
              <w:jc w:val="left"/>
              <w:rPr>
                <w:b/>
              </w:rPr>
            </w:pPr>
            <w:r>
              <w:t xml:space="preserve">Department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D803A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D803A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t xml:space="preserve">: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B546C" w:rsidRPr="003414F6" w:rsidRDefault="001B546C" w:rsidP="00D803A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t xml:space="preserve">Institute of Health Economics  </w:t>
            </w:r>
          </w:p>
        </w:tc>
      </w:tr>
      <w:tr w:rsidR="001B546C" w:rsidTr="00566FDF">
        <w:trPr>
          <w:trHeight w:val="252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  <w:r>
              <w:t xml:space="preserve">Institution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3414F6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0" w:firstLine="0"/>
              <w:jc w:val="left"/>
            </w:pPr>
            <w:r>
              <w:t xml:space="preserve">University of Dhaka </w:t>
            </w:r>
          </w:p>
        </w:tc>
      </w:tr>
      <w:tr w:rsidR="001B546C" w:rsidTr="00566FDF">
        <w:trPr>
          <w:trHeight w:val="24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  <w:r>
              <w:t xml:space="preserve">Duration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3414F6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0" w:firstLine="0"/>
              <w:jc w:val="left"/>
            </w:pPr>
            <w:r>
              <w:t>From 9</w:t>
            </w:r>
            <w:r>
              <w:rPr>
                <w:vertAlign w:val="superscript"/>
              </w:rPr>
              <w:t>th</w:t>
            </w:r>
            <w:r>
              <w:t xml:space="preserve"> November 2016 to till date </w:t>
            </w:r>
          </w:p>
        </w:tc>
      </w:tr>
      <w:tr w:rsidR="001B546C" w:rsidTr="00566FDF">
        <w:trPr>
          <w:trHeight w:val="259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720" w:firstLine="0"/>
              <w:jc w:val="left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3414F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</w:tcPr>
          <w:p w:rsidR="001B546C" w:rsidRDefault="001B546C" w:rsidP="00A62A36">
            <w:pPr>
              <w:spacing w:after="0" w:line="276" w:lineRule="auto"/>
              <w:ind w:left="0" w:firstLine="0"/>
            </w:pPr>
          </w:p>
        </w:tc>
      </w:tr>
    </w:tbl>
    <w:p w:rsidR="00163570" w:rsidRDefault="00163570" w:rsidP="001B546C">
      <w:pPr>
        <w:spacing w:after="32" w:line="240" w:lineRule="auto"/>
        <w:ind w:left="0" w:firstLine="0"/>
        <w:jc w:val="left"/>
      </w:pPr>
      <w:r>
        <w:rPr>
          <w:b/>
        </w:rPr>
        <w:t xml:space="preserve"> </w:t>
      </w:r>
      <w:r w:rsidR="001D044B">
        <w:rPr>
          <w:b/>
        </w:rPr>
        <w:t>Job Responsibilities</w:t>
      </w:r>
      <w:r>
        <w:rPr>
          <w:b/>
        </w:rPr>
        <w:t xml:space="preserve"> </w:t>
      </w:r>
      <w:r w:rsidR="00A62A36">
        <w:rPr>
          <w:b/>
        </w:rPr>
        <w:t>as a Lecturer</w:t>
      </w:r>
      <w:r>
        <w:rPr>
          <w:b/>
        </w:rPr>
        <w:t xml:space="preserve">  </w:t>
      </w:r>
    </w:p>
    <w:p w:rsidR="00D602F6" w:rsidRDefault="00163570" w:rsidP="009877E2">
      <w:pPr>
        <w:numPr>
          <w:ilvl w:val="0"/>
          <w:numId w:val="1"/>
        </w:numPr>
        <w:ind w:left="720" w:hanging="360"/>
      </w:pPr>
      <w:r>
        <w:t xml:space="preserve">Responsible for carrying out teaching and research duties. </w:t>
      </w:r>
    </w:p>
    <w:p w:rsidR="00163570" w:rsidRDefault="00163570" w:rsidP="009877E2">
      <w:pPr>
        <w:numPr>
          <w:ilvl w:val="0"/>
          <w:numId w:val="1"/>
        </w:numPr>
        <w:ind w:left="720" w:hanging="360"/>
      </w:pPr>
      <w:r w:rsidRPr="00D602F6">
        <w:rPr>
          <w:b/>
        </w:rPr>
        <w:t>Courses Taught:</w:t>
      </w:r>
      <w:r>
        <w:t xml:space="preserve"> Basic Econometrics, Public Economics, Environment and Health, Labor Economics</w:t>
      </w:r>
      <w:r w:rsidR="00D13704">
        <w:t>, Economy of Bangladesh</w:t>
      </w:r>
      <w:r w:rsidR="004A4504">
        <w:t>.</w:t>
      </w:r>
      <w:r w:rsidR="00D13704">
        <w:t xml:space="preserve">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Involved in the research and designing of new courses and materials.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>Responsible for preparing learning material for courses and devising relevant practical activities.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Supervising students in their research works.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Assessing students’ course work and material.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Involved in the set-up of exams and the marking of results.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Providing mentoring, advice and support to students on a personal level.  </w:t>
      </w:r>
    </w:p>
    <w:p w:rsidR="00163570" w:rsidRDefault="00163570" w:rsidP="00163570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163570" w:rsidRDefault="001D044B" w:rsidP="00163570">
      <w:pPr>
        <w:spacing w:after="14" w:line="240" w:lineRule="auto"/>
        <w:ind w:right="-15"/>
        <w:jc w:val="left"/>
      </w:pPr>
      <w:r>
        <w:rPr>
          <w:b/>
        </w:rPr>
        <w:t>Areas of Interests</w:t>
      </w:r>
      <w:r w:rsidR="00163570">
        <w:rPr>
          <w:b/>
        </w:rPr>
        <w:t xml:space="preserve"> </w:t>
      </w:r>
    </w:p>
    <w:p w:rsidR="00163570" w:rsidRDefault="00354905" w:rsidP="00354905">
      <w:pPr>
        <w:ind w:left="720" w:hanging="720"/>
      </w:pPr>
      <w:r>
        <w:t xml:space="preserve">             </w:t>
      </w:r>
      <w:r>
        <w:t>Economic Evaluation of Health Care</w:t>
      </w:r>
      <w:r>
        <w:t xml:space="preserve">, </w:t>
      </w:r>
      <w:r w:rsidR="00E265C7">
        <w:t>Health Care Financing</w:t>
      </w:r>
      <w:r>
        <w:t xml:space="preserve">, </w:t>
      </w:r>
      <w:r>
        <w:t>Equity in Access to Health Care</w:t>
      </w:r>
      <w:r>
        <w:t>,      Burden of NCDs</w:t>
      </w:r>
    </w:p>
    <w:p w:rsidR="00163570" w:rsidRDefault="00163570" w:rsidP="00163570">
      <w:pPr>
        <w:spacing w:after="32" w:line="240" w:lineRule="auto"/>
        <w:ind w:left="0" w:firstLine="0"/>
        <w:jc w:val="left"/>
      </w:pPr>
      <w:r>
        <w:rPr>
          <w:b/>
        </w:rPr>
        <w:t xml:space="preserve"> </w:t>
      </w:r>
    </w:p>
    <w:p w:rsidR="00163570" w:rsidRDefault="001D044B" w:rsidP="00163570">
      <w:pPr>
        <w:spacing w:after="14" w:line="240" w:lineRule="auto"/>
        <w:ind w:right="-15"/>
        <w:jc w:val="left"/>
      </w:pPr>
      <w:r>
        <w:rPr>
          <w:b/>
        </w:rPr>
        <w:t>Academic Credentials</w:t>
      </w:r>
    </w:p>
    <w:p w:rsidR="00163570" w:rsidRDefault="00163570" w:rsidP="00163570">
      <w:pPr>
        <w:numPr>
          <w:ilvl w:val="0"/>
          <w:numId w:val="1"/>
        </w:numPr>
        <w:spacing w:after="14" w:line="240" w:lineRule="auto"/>
        <w:ind w:left="720" w:hanging="360"/>
      </w:pPr>
      <w:r>
        <w:rPr>
          <w:b/>
        </w:rPr>
        <w:t xml:space="preserve">Master of Social Science in Health Economics </w:t>
      </w:r>
      <w:r>
        <w:t xml:space="preserve">(2015-2016) </w:t>
      </w:r>
    </w:p>
    <w:p w:rsidR="00163570" w:rsidRDefault="00163570" w:rsidP="00163570">
      <w:pPr>
        <w:spacing w:after="14" w:line="240" w:lineRule="auto"/>
        <w:ind w:left="720" w:firstLine="0"/>
      </w:pPr>
      <w:r>
        <w:t xml:space="preserve">Institute of Health Economics, </w:t>
      </w:r>
    </w:p>
    <w:p w:rsidR="00163570" w:rsidRDefault="00163570" w:rsidP="00163570">
      <w:pPr>
        <w:spacing w:after="14" w:line="240" w:lineRule="auto"/>
        <w:ind w:left="720" w:firstLine="0"/>
      </w:pPr>
      <w:r>
        <w:t xml:space="preserve">University of Dhaka, Dhaka                 </w:t>
      </w:r>
    </w:p>
    <w:p w:rsidR="00163570" w:rsidRDefault="00163570" w:rsidP="00163570">
      <w:pPr>
        <w:spacing w:after="14" w:line="240" w:lineRule="auto"/>
        <w:ind w:left="720" w:firstLine="0"/>
      </w:pPr>
      <w:r>
        <w:t xml:space="preserve">CGPA: 3.75 (out of 4.00) </w:t>
      </w:r>
    </w:p>
    <w:p w:rsidR="00163570" w:rsidRDefault="00163570" w:rsidP="00163570">
      <w:pPr>
        <w:numPr>
          <w:ilvl w:val="0"/>
          <w:numId w:val="1"/>
        </w:numPr>
        <w:spacing w:after="14" w:line="240" w:lineRule="auto"/>
        <w:ind w:left="720" w:hanging="360"/>
      </w:pPr>
      <w:r>
        <w:rPr>
          <w:b/>
        </w:rPr>
        <w:t xml:space="preserve">Bachelor of Social Science in Health Economics </w:t>
      </w:r>
      <w:r>
        <w:t xml:space="preserve">(2011-2014) </w:t>
      </w:r>
    </w:p>
    <w:p w:rsidR="00163570" w:rsidRDefault="00163570" w:rsidP="00163570">
      <w:pPr>
        <w:spacing w:after="14" w:line="240" w:lineRule="auto"/>
        <w:ind w:left="720" w:firstLine="0"/>
      </w:pPr>
      <w:r>
        <w:t>Institute of Health Economics,</w:t>
      </w:r>
    </w:p>
    <w:p w:rsidR="00163570" w:rsidRDefault="00163570" w:rsidP="00163570">
      <w:pPr>
        <w:spacing w:after="14" w:line="240" w:lineRule="auto"/>
        <w:ind w:left="720" w:firstLine="0"/>
      </w:pPr>
      <w:r>
        <w:t xml:space="preserve">University of Dhaka, Dhaka </w:t>
      </w:r>
    </w:p>
    <w:p w:rsidR="00163570" w:rsidRDefault="00163570" w:rsidP="00163570">
      <w:pPr>
        <w:spacing w:after="14" w:line="240" w:lineRule="auto"/>
        <w:ind w:left="720" w:firstLine="0"/>
      </w:pPr>
      <w:r>
        <w:t xml:space="preserve">CGPA: 3.70 (out of 4.00) </w:t>
      </w:r>
    </w:p>
    <w:p w:rsidR="00560872" w:rsidRDefault="00560872" w:rsidP="00163570">
      <w:pPr>
        <w:spacing w:after="14" w:line="240" w:lineRule="auto"/>
        <w:ind w:right="-15"/>
        <w:jc w:val="left"/>
        <w:rPr>
          <w:b/>
        </w:rPr>
      </w:pPr>
    </w:p>
    <w:p w:rsidR="00163570" w:rsidRDefault="00163570" w:rsidP="00163570">
      <w:pPr>
        <w:spacing w:after="14" w:line="240" w:lineRule="auto"/>
        <w:ind w:right="-15"/>
        <w:jc w:val="left"/>
      </w:pPr>
      <w:r>
        <w:rPr>
          <w:b/>
        </w:rPr>
        <w:t xml:space="preserve">Other Qualifications  </w:t>
      </w:r>
      <w:r>
        <w:t xml:space="preserve">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rPr>
          <w:b/>
        </w:rPr>
        <w:t xml:space="preserve">Language Proficiency </w:t>
      </w:r>
      <w:r>
        <w:t xml:space="preserve"> IELTS-score: Overall- 7.0 </w:t>
      </w:r>
    </w:p>
    <w:p w:rsidR="00163570" w:rsidRDefault="00163570" w:rsidP="00163570">
      <w:pPr>
        <w:ind w:left="731" w:right="3130"/>
      </w:pPr>
      <w:r>
        <w:t xml:space="preserve">(Listening-6.5, Reading 8.0, Writing- 6.5, Speaking-6.5)  </w:t>
      </w:r>
    </w:p>
    <w:p w:rsidR="00163570" w:rsidRDefault="00163570" w:rsidP="00163570">
      <w:pPr>
        <w:ind w:left="731" w:right="3130"/>
      </w:pPr>
      <w:r>
        <w:t xml:space="preserve">Test Date: 23 November 2019.  </w:t>
      </w:r>
    </w:p>
    <w:p w:rsidR="00163570" w:rsidRDefault="00163570" w:rsidP="00163570">
      <w:pPr>
        <w:numPr>
          <w:ilvl w:val="0"/>
          <w:numId w:val="1"/>
        </w:numPr>
        <w:spacing w:after="14" w:line="240" w:lineRule="auto"/>
        <w:ind w:left="720" w:hanging="360"/>
      </w:pPr>
      <w:r>
        <w:rPr>
          <w:b/>
        </w:rPr>
        <w:t xml:space="preserve">Aptitude Test   </w:t>
      </w:r>
    </w:p>
    <w:p w:rsidR="00163570" w:rsidRDefault="00163570" w:rsidP="00163570">
      <w:pPr>
        <w:spacing w:after="14" w:line="240" w:lineRule="auto"/>
        <w:ind w:left="720" w:firstLine="0"/>
      </w:pPr>
      <w:r>
        <w:t>GRE-score: Verbal Reasoning- 148, Quantitative Reasoning- 159</w:t>
      </w:r>
      <w:proofErr w:type="gramStart"/>
      <w:r>
        <w:t xml:space="preserve">, Analytical Writing-3.5                     </w:t>
      </w:r>
      <w:proofErr w:type="gramEnd"/>
      <w:r>
        <w:t xml:space="preserve"> Test Date: 29 September, 2019.  </w:t>
      </w:r>
    </w:p>
    <w:p w:rsidR="00163570" w:rsidRDefault="00163570" w:rsidP="00163570">
      <w:pPr>
        <w:numPr>
          <w:ilvl w:val="0"/>
          <w:numId w:val="1"/>
        </w:numPr>
        <w:spacing w:after="14" w:line="240" w:lineRule="auto"/>
        <w:ind w:left="720" w:hanging="360"/>
      </w:pPr>
      <w:r>
        <w:rPr>
          <w:b/>
        </w:rPr>
        <w:t xml:space="preserve">Computer Skills  </w:t>
      </w:r>
      <w:r>
        <w:rPr>
          <w:b/>
        </w:rPr>
        <w:tab/>
        <w:t xml:space="preserve">  </w:t>
      </w:r>
    </w:p>
    <w:p w:rsidR="00163570" w:rsidRDefault="00163570" w:rsidP="00163570">
      <w:r>
        <w:t xml:space="preserve">             Competent in using computer programs -Microsoft Word, Power Point and Microsoft Excel,   </w:t>
      </w:r>
    </w:p>
    <w:p w:rsidR="00163570" w:rsidRDefault="00163570" w:rsidP="00163570">
      <w:pPr>
        <w:numPr>
          <w:ilvl w:val="0"/>
          <w:numId w:val="1"/>
        </w:numPr>
        <w:spacing w:after="14" w:line="240" w:lineRule="auto"/>
        <w:ind w:left="720" w:hanging="360"/>
      </w:pPr>
      <w:r>
        <w:rPr>
          <w:b/>
        </w:rPr>
        <w:t>Statistical Tools:</w:t>
      </w:r>
      <w:r>
        <w:t xml:space="preserve"> STATA.  </w:t>
      </w:r>
    </w:p>
    <w:p w:rsidR="00163570" w:rsidRDefault="00163570" w:rsidP="00163570">
      <w:pPr>
        <w:spacing w:after="36" w:line="240" w:lineRule="auto"/>
        <w:ind w:left="0" w:firstLine="0"/>
        <w:jc w:val="left"/>
      </w:pPr>
      <w:r>
        <w:t xml:space="preserve"> </w:t>
      </w:r>
    </w:p>
    <w:p w:rsidR="00163570" w:rsidRDefault="001D044B" w:rsidP="00163570">
      <w:pPr>
        <w:spacing w:after="14" w:line="240" w:lineRule="auto"/>
        <w:ind w:right="-15"/>
        <w:jc w:val="left"/>
      </w:pPr>
      <w:r>
        <w:rPr>
          <w:b/>
        </w:rPr>
        <w:lastRenderedPageBreak/>
        <w:t>Research Experience</w:t>
      </w:r>
      <w:r w:rsidR="00163570">
        <w:rPr>
          <w:b/>
        </w:rPr>
        <w:t xml:space="preserve">  </w:t>
      </w:r>
    </w:p>
    <w:p w:rsidR="00163570" w:rsidRPr="0054361D" w:rsidRDefault="001D044B" w:rsidP="00163570">
      <w:pPr>
        <w:spacing w:after="8" w:line="240" w:lineRule="auto"/>
        <w:ind w:right="-15"/>
        <w:jc w:val="left"/>
        <w:rPr>
          <w:b/>
          <w:i/>
        </w:rPr>
      </w:pPr>
      <w:r>
        <w:rPr>
          <w:b/>
          <w:i/>
        </w:rPr>
        <w:t>Published Paper</w:t>
      </w:r>
      <w:r w:rsidR="00B92686">
        <w:rPr>
          <w:b/>
          <w:i/>
        </w:rPr>
        <w:t>s</w:t>
      </w:r>
      <w:r w:rsidR="00163570">
        <w:rPr>
          <w:b/>
          <w:i/>
        </w:rPr>
        <w:t xml:space="preserve"> </w:t>
      </w:r>
    </w:p>
    <w:p w:rsidR="001B546C" w:rsidRPr="001B546C" w:rsidRDefault="001B546C" w:rsidP="001B546C">
      <w:pPr>
        <w:numPr>
          <w:ilvl w:val="0"/>
          <w:numId w:val="4"/>
        </w:numPr>
        <w:spacing w:after="0"/>
        <w:rPr>
          <w:sz w:val="24"/>
        </w:rPr>
      </w:pPr>
      <w:proofErr w:type="spellStart"/>
      <w:r w:rsidRPr="00C44DC5">
        <w:rPr>
          <w:color w:val="222222"/>
          <w:sz w:val="24"/>
          <w:shd w:val="clear" w:color="auto" w:fill="FFFFFF"/>
        </w:rPr>
        <w:t>Hasan</w:t>
      </w:r>
      <w:proofErr w:type="spellEnd"/>
      <w:r w:rsidRPr="00C44DC5">
        <w:rPr>
          <w:color w:val="222222"/>
          <w:sz w:val="24"/>
          <w:shd w:val="clear" w:color="auto" w:fill="FFFFFF"/>
        </w:rPr>
        <w:t xml:space="preserve">, E., </w:t>
      </w:r>
      <w:r w:rsidRPr="00C44DC5">
        <w:rPr>
          <w:b/>
          <w:color w:val="222222"/>
          <w:sz w:val="24"/>
          <w:shd w:val="clear" w:color="auto" w:fill="FFFFFF"/>
        </w:rPr>
        <w:t>Khanam, M.</w:t>
      </w:r>
      <w:r w:rsidRPr="00C44DC5">
        <w:rPr>
          <w:color w:val="222222"/>
          <w:sz w:val="24"/>
          <w:shd w:val="clear" w:color="auto" w:fill="FFFFFF"/>
        </w:rPr>
        <w:t xml:space="preserve">, &amp; </w:t>
      </w:r>
      <w:proofErr w:type="spellStart"/>
      <w:r w:rsidRPr="00C44DC5">
        <w:rPr>
          <w:color w:val="222222"/>
          <w:sz w:val="24"/>
          <w:shd w:val="clear" w:color="auto" w:fill="FFFFFF"/>
        </w:rPr>
        <w:t>Shimul</w:t>
      </w:r>
      <w:proofErr w:type="spellEnd"/>
      <w:r w:rsidRPr="00C44DC5">
        <w:rPr>
          <w:color w:val="222222"/>
          <w:sz w:val="24"/>
          <w:shd w:val="clear" w:color="auto" w:fill="FFFFFF"/>
        </w:rPr>
        <w:t xml:space="preserve">, S. (2020) Socioeconomic Inequalities in </w:t>
      </w:r>
      <w:r>
        <w:rPr>
          <w:color w:val="222222"/>
          <w:sz w:val="24"/>
          <w:shd w:val="clear" w:color="auto" w:fill="FFFFFF"/>
        </w:rPr>
        <w:t xml:space="preserve">Overweight and </w:t>
      </w:r>
      <w:r w:rsidRPr="00C44DC5">
        <w:rPr>
          <w:color w:val="222222"/>
          <w:sz w:val="24"/>
          <w:shd w:val="clear" w:color="auto" w:fill="FFFFFF"/>
        </w:rPr>
        <w:t xml:space="preserve">Obesity </w:t>
      </w:r>
      <w:r>
        <w:rPr>
          <w:color w:val="222222"/>
          <w:sz w:val="24"/>
          <w:shd w:val="clear" w:color="auto" w:fill="FFFFFF"/>
        </w:rPr>
        <w:t xml:space="preserve">among Women of Reproductive Age </w:t>
      </w:r>
      <w:r w:rsidRPr="00C44DC5">
        <w:rPr>
          <w:color w:val="222222"/>
          <w:sz w:val="24"/>
          <w:shd w:val="clear" w:color="auto" w:fill="FFFFFF"/>
        </w:rPr>
        <w:t xml:space="preserve">in Bangladesh: A Decomposition Approach. </w:t>
      </w:r>
      <w:r w:rsidRPr="00C44DC5">
        <w:rPr>
          <w:i/>
          <w:color w:val="222222"/>
          <w:sz w:val="24"/>
          <w:shd w:val="clear" w:color="auto" w:fill="FFFFFF"/>
        </w:rPr>
        <w:t>BMC Women’s Health. 20</w:t>
      </w:r>
      <w:r w:rsidRPr="00C44DC5">
        <w:rPr>
          <w:color w:val="222222"/>
          <w:sz w:val="24"/>
          <w:shd w:val="clear" w:color="auto" w:fill="FFFFFF"/>
        </w:rPr>
        <w:t xml:space="preserve"> (263).</w:t>
      </w:r>
      <w:r w:rsidRPr="00C44DC5">
        <w:rPr>
          <w:sz w:val="24"/>
        </w:rPr>
        <w:t xml:space="preserve"> </w:t>
      </w:r>
      <w:hyperlink r:id="rId5" w:history="1">
        <w:r w:rsidRPr="002F4FC3">
          <w:rPr>
            <w:rStyle w:val="Hyperlink"/>
            <w:sz w:val="24"/>
          </w:rPr>
          <w:t>https://doi.org/10.1186/s12905-020-01135-x</w:t>
        </w:r>
      </w:hyperlink>
      <w:r>
        <w:rPr>
          <w:sz w:val="24"/>
        </w:rPr>
        <w:t>.</w:t>
      </w:r>
    </w:p>
    <w:p w:rsidR="001B546C" w:rsidRPr="001B546C" w:rsidRDefault="001B546C" w:rsidP="001B546C">
      <w:pPr>
        <w:numPr>
          <w:ilvl w:val="0"/>
          <w:numId w:val="4"/>
        </w:numPr>
        <w:spacing w:after="0"/>
        <w:rPr>
          <w:sz w:val="24"/>
        </w:rPr>
      </w:pPr>
      <w:r w:rsidRPr="00C44DC5">
        <w:rPr>
          <w:b/>
          <w:sz w:val="24"/>
        </w:rPr>
        <w:t>Khanam, M.,</w:t>
      </w:r>
      <w:r w:rsidRPr="00C44DC5">
        <w:rPr>
          <w:sz w:val="24"/>
        </w:rPr>
        <w:t xml:space="preserve"> &amp; </w:t>
      </w:r>
      <w:proofErr w:type="spellStart"/>
      <w:r w:rsidRPr="00C44DC5">
        <w:rPr>
          <w:sz w:val="24"/>
        </w:rPr>
        <w:t>Hasan</w:t>
      </w:r>
      <w:proofErr w:type="spellEnd"/>
      <w:r w:rsidRPr="00C44DC5">
        <w:rPr>
          <w:sz w:val="24"/>
        </w:rPr>
        <w:t xml:space="preserve">, E. (2020). Inequalities in health care utilization for common illnesses among under five children in Bangladesh. </w:t>
      </w:r>
      <w:r w:rsidRPr="00C44DC5">
        <w:rPr>
          <w:i/>
          <w:iCs/>
          <w:sz w:val="24"/>
        </w:rPr>
        <w:t>BMC Pediatrics</w:t>
      </w:r>
      <w:r w:rsidRPr="00C44DC5">
        <w:rPr>
          <w:sz w:val="24"/>
        </w:rPr>
        <w:t xml:space="preserve">, </w:t>
      </w:r>
      <w:r w:rsidRPr="00C44DC5">
        <w:rPr>
          <w:i/>
          <w:iCs/>
          <w:sz w:val="24"/>
        </w:rPr>
        <w:t>20</w:t>
      </w:r>
      <w:r w:rsidRPr="00C44DC5">
        <w:rPr>
          <w:sz w:val="24"/>
        </w:rPr>
        <w:t>(1), 1–11. https://doi.org/10.1186/s12887-020-02109-6</w:t>
      </w:r>
      <w:r>
        <w:rPr>
          <w:sz w:val="24"/>
        </w:rPr>
        <w:t>.</w:t>
      </w:r>
    </w:p>
    <w:p w:rsidR="001B546C" w:rsidRPr="001B546C" w:rsidRDefault="001B546C" w:rsidP="001B546C">
      <w:pPr>
        <w:numPr>
          <w:ilvl w:val="0"/>
          <w:numId w:val="4"/>
        </w:numPr>
        <w:spacing w:after="0"/>
        <w:rPr>
          <w:sz w:val="24"/>
        </w:rPr>
      </w:pPr>
      <w:r w:rsidRPr="00C44DC5">
        <w:rPr>
          <w:b/>
          <w:sz w:val="24"/>
        </w:rPr>
        <w:t>Khanam, M.,</w:t>
      </w:r>
      <w:r w:rsidRPr="00C44DC5">
        <w:rPr>
          <w:sz w:val="24"/>
        </w:rPr>
        <w:t xml:space="preserve"> </w:t>
      </w:r>
      <w:proofErr w:type="spellStart"/>
      <w:r w:rsidRPr="00C44DC5">
        <w:rPr>
          <w:sz w:val="24"/>
        </w:rPr>
        <w:t>Sarker</w:t>
      </w:r>
      <w:proofErr w:type="spellEnd"/>
      <w:r w:rsidRPr="00C44DC5">
        <w:rPr>
          <w:sz w:val="24"/>
        </w:rPr>
        <w:t xml:space="preserve">, A.R., &amp; </w:t>
      </w:r>
      <w:proofErr w:type="spellStart"/>
      <w:r w:rsidRPr="00C44DC5">
        <w:rPr>
          <w:sz w:val="24"/>
        </w:rPr>
        <w:t>Shimul</w:t>
      </w:r>
      <w:proofErr w:type="spellEnd"/>
      <w:r w:rsidRPr="00C44DC5">
        <w:rPr>
          <w:sz w:val="24"/>
        </w:rPr>
        <w:t xml:space="preserve">, S. (2019). Individual-, Household- and Community-Level Determinants of Childhood </w:t>
      </w:r>
      <w:proofErr w:type="spellStart"/>
      <w:r w:rsidRPr="00C44DC5">
        <w:rPr>
          <w:sz w:val="24"/>
        </w:rPr>
        <w:t>Undernutrition</w:t>
      </w:r>
      <w:proofErr w:type="spellEnd"/>
      <w:r w:rsidRPr="00C44DC5">
        <w:rPr>
          <w:sz w:val="24"/>
        </w:rPr>
        <w:t xml:space="preserve"> in Bangladesh. </w:t>
      </w:r>
      <w:r w:rsidRPr="00C44DC5">
        <w:rPr>
          <w:i/>
          <w:sz w:val="24"/>
        </w:rPr>
        <w:t>Health Services Research &amp; Managerial Epidemiology</w:t>
      </w:r>
      <w:r w:rsidRPr="00C44DC5">
        <w:rPr>
          <w:sz w:val="24"/>
        </w:rPr>
        <w:t xml:space="preserve">. </w:t>
      </w:r>
      <w:r w:rsidRPr="00C44DC5">
        <w:rPr>
          <w:i/>
          <w:sz w:val="24"/>
        </w:rPr>
        <w:t>6</w:t>
      </w:r>
      <w:r w:rsidRPr="00C44DC5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doi</w:t>
      </w:r>
      <w:proofErr w:type="spellEnd"/>
      <w:proofErr w:type="gramEnd"/>
      <w:r>
        <w:rPr>
          <w:sz w:val="24"/>
        </w:rPr>
        <w:t>: 10.1177/2333392819876555.</w:t>
      </w:r>
    </w:p>
    <w:p w:rsidR="001B546C" w:rsidRPr="001B546C" w:rsidRDefault="001B546C" w:rsidP="001B546C">
      <w:pPr>
        <w:numPr>
          <w:ilvl w:val="0"/>
          <w:numId w:val="4"/>
        </w:numPr>
        <w:spacing w:after="0"/>
        <w:rPr>
          <w:sz w:val="24"/>
        </w:rPr>
      </w:pPr>
      <w:proofErr w:type="spellStart"/>
      <w:r w:rsidRPr="00C44DC5">
        <w:rPr>
          <w:sz w:val="24"/>
        </w:rPr>
        <w:t>Piu</w:t>
      </w:r>
      <w:proofErr w:type="spellEnd"/>
      <w:r w:rsidRPr="00C44DC5">
        <w:rPr>
          <w:sz w:val="24"/>
        </w:rPr>
        <w:t>, Z.A., &amp;</w:t>
      </w:r>
      <w:r w:rsidRPr="00C44DC5">
        <w:rPr>
          <w:b/>
          <w:sz w:val="24"/>
        </w:rPr>
        <w:t xml:space="preserve"> Khanam, M. </w:t>
      </w:r>
      <w:r w:rsidRPr="00C44DC5">
        <w:rPr>
          <w:sz w:val="24"/>
        </w:rPr>
        <w:t xml:space="preserve">(2019). Women Empowerment and Maternal Health Care Service Utilization: Evidence from Bangladesh. </w:t>
      </w:r>
      <w:r w:rsidRPr="00C44DC5">
        <w:rPr>
          <w:i/>
          <w:sz w:val="24"/>
        </w:rPr>
        <w:t xml:space="preserve">Social Science Review. </w:t>
      </w:r>
      <w:r w:rsidRPr="00C44DC5">
        <w:rPr>
          <w:sz w:val="24"/>
        </w:rPr>
        <w:t>The Dhaka University Studies,</w:t>
      </w:r>
      <w:r w:rsidRPr="00C44DC5">
        <w:rPr>
          <w:i/>
          <w:sz w:val="24"/>
        </w:rPr>
        <w:t xml:space="preserve"> </w:t>
      </w:r>
      <w:r w:rsidRPr="00C44DC5">
        <w:rPr>
          <w:sz w:val="24"/>
        </w:rPr>
        <w:t xml:space="preserve">Part D. </w:t>
      </w:r>
      <w:r w:rsidRPr="00C44DC5">
        <w:rPr>
          <w:i/>
          <w:sz w:val="24"/>
        </w:rPr>
        <w:t>36</w:t>
      </w:r>
      <w:r w:rsidRPr="00C44DC5">
        <w:rPr>
          <w:sz w:val="24"/>
        </w:rPr>
        <w:t xml:space="preserve">(1), p 149-166. </w:t>
      </w:r>
    </w:p>
    <w:p w:rsidR="001B546C" w:rsidRPr="001B546C" w:rsidRDefault="001B546C" w:rsidP="001B546C">
      <w:pPr>
        <w:numPr>
          <w:ilvl w:val="0"/>
          <w:numId w:val="4"/>
        </w:numPr>
        <w:spacing w:after="0"/>
        <w:rPr>
          <w:sz w:val="24"/>
        </w:rPr>
      </w:pPr>
      <w:r w:rsidRPr="00C44DC5">
        <w:rPr>
          <w:b/>
          <w:sz w:val="24"/>
        </w:rPr>
        <w:t>Khanam, M.</w:t>
      </w:r>
      <w:r w:rsidRPr="00C44DC5">
        <w:rPr>
          <w:sz w:val="24"/>
        </w:rPr>
        <w:t xml:space="preserve">, &amp; </w:t>
      </w:r>
      <w:proofErr w:type="spellStart"/>
      <w:r w:rsidRPr="00C44DC5">
        <w:rPr>
          <w:sz w:val="24"/>
        </w:rPr>
        <w:t>Piu</w:t>
      </w:r>
      <w:proofErr w:type="spellEnd"/>
      <w:r w:rsidRPr="00C44DC5">
        <w:rPr>
          <w:sz w:val="24"/>
        </w:rPr>
        <w:t xml:space="preserve">, Z.A. (2018). Determinants of Health Care Utilization among the Aged People in Bangladesh. </w:t>
      </w:r>
      <w:r w:rsidRPr="00C44DC5">
        <w:rPr>
          <w:i/>
          <w:sz w:val="24"/>
        </w:rPr>
        <w:t xml:space="preserve">Social Science Review. </w:t>
      </w:r>
      <w:r w:rsidRPr="00C44DC5">
        <w:rPr>
          <w:sz w:val="24"/>
        </w:rPr>
        <w:t>The Dhaka University Studies,</w:t>
      </w:r>
      <w:r w:rsidRPr="00C44DC5">
        <w:rPr>
          <w:i/>
          <w:sz w:val="24"/>
        </w:rPr>
        <w:t xml:space="preserve"> </w:t>
      </w:r>
      <w:r w:rsidRPr="00C44DC5">
        <w:rPr>
          <w:sz w:val="24"/>
        </w:rPr>
        <w:t>Part D. 35(2), p 191</w:t>
      </w:r>
      <w:r>
        <w:rPr>
          <w:sz w:val="24"/>
        </w:rPr>
        <w:t>-</w:t>
      </w:r>
      <w:r w:rsidRPr="00C44DC5">
        <w:rPr>
          <w:sz w:val="24"/>
        </w:rPr>
        <w:t xml:space="preserve">204. </w:t>
      </w:r>
    </w:p>
    <w:p w:rsidR="001B546C" w:rsidRPr="00C44DC5" w:rsidRDefault="001B546C" w:rsidP="001B546C">
      <w:pPr>
        <w:numPr>
          <w:ilvl w:val="0"/>
          <w:numId w:val="4"/>
        </w:numPr>
        <w:spacing w:after="0"/>
        <w:rPr>
          <w:sz w:val="24"/>
        </w:rPr>
      </w:pPr>
      <w:proofErr w:type="spellStart"/>
      <w:r w:rsidRPr="00C44DC5">
        <w:rPr>
          <w:sz w:val="24"/>
        </w:rPr>
        <w:t>Bhuiyan</w:t>
      </w:r>
      <w:proofErr w:type="spellEnd"/>
      <w:r w:rsidRPr="00C44DC5">
        <w:rPr>
          <w:sz w:val="24"/>
        </w:rPr>
        <w:t xml:space="preserve">, S.M., Sultana, N., </w:t>
      </w:r>
      <w:proofErr w:type="spellStart"/>
      <w:r w:rsidRPr="00C44DC5">
        <w:rPr>
          <w:sz w:val="24"/>
        </w:rPr>
        <w:t>Piu</w:t>
      </w:r>
      <w:proofErr w:type="spellEnd"/>
      <w:r w:rsidRPr="00C44DC5">
        <w:rPr>
          <w:sz w:val="24"/>
        </w:rPr>
        <w:t xml:space="preserve">, Z.A., &amp; </w:t>
      </w:r>
      <w:r w:rsidRPr="00C44DC5">
        <w:rPr>
          <w:b/>
          <w:sz w:val="24"/>
        </w:rPr>
        <w:t>Khanam, M.</w:t>
      </w:r>
      <w:r w:rsidRPr="00C44DC5">
        <w:rPr>
          <w:sz w:val="24"/>
        </w:rPr>
        <w:t xml:space="preserve"> (2018). Regional Differences and Determinants of Caesarean Delivery in Bangladesh: An Analysis Using BDHS Data. </w:t>
      </w:r>
      <w:r w:rsidRPr="00C44DC5">
        <w:rPr>
          <w:i/>
          <w:sz w:val="24"/>
        </w:rPr>
        <w:t>Oriental Geographer</w:t>
      </w:r>
      <w:r w:rsidRPr="00C44DC5">
        <w:rPr>
          <w:sz w:val="24"/>
        </w:rPr>
        <w:t xml:space="preserve">. 59, p 67-82. </w:t>
      </w:r>
    </w:p>
    <w:p w:rsidR="00163570" w:rsidRDefault="00163570" w:rsidP="00163570">
      <w:pPr>
        <w:ind w:left="0" w:firstLine="0"/>
      </w:pPr>
    </w:p>
    <w:p w:rsidR="00163570" w:rsidRDefault="00163570" w:rsidP="00163570">
      <w:pPr>
        <w:ind w:left="0" w:firstLine="0"/>
      </w:pPr>
      <w:r>
        <w:rPr>
          <w:b/>
          <w:i/>
        </w:rPr>
        <w:t>Articles in Progress</w:t>
      </w:r>
    </w:p>
    <w:p w:rsidR="00812D4D" w:rsidRPr="00354905" w:rsidRDefault="00D13704" w:rsidP="00163570">
      <w:pPr>
        <w:numPr>
          <w:ilvl w:val="0"/>
          <w:numId w:val="1"/>
        </w:numPr>
        <w:ind w:left="720" w:hanging="360"/>
      </w:pPr>
      <w:r w:rsidRPr="00D13704">
        <w:rPr>
          <w:b/>
          <w:color w:val="222222"/>
          <w:shd w:val="clear" w:color="auto" w:fill="FFFFFF"/>
        </w:rPr>
        <w:t>Khanam, M.</w:t>
      </w:r>
      <w:r>
        <w:rPr>
          <w:color w:val="222222"/>
          <w:shd w:val="clear" w:color="auto" w:fill="FFFFFF"/>
        </w:rPr>
        <w:t xml:space="preserve">, &amp; </w:t>
      </w:r>
      <w:proofErr w:type="spellStart"/>
      <w:r>
        <w:rPr>
          <w:color w:val="222222"/>
          <w:shd w:val="clear" w:color="auto" w:fill="FFFFFF"/>
        </w:rPr>
        <w:t>Hasan</w:t>
      </w:r>
      <w:proofErr w:type="spellEnd"/>
      <w:r>
        <w:rPr>
          <w:color w:val="222222"/>
          <w:shd w:val="clear" w:color="auto" w:fill="FFFFFF"/>
        </w:rPr>
        <w:t xml:space="preserve">, E. </w:t>
      </w:r>
      <w:r w:rsidR="00812D4D">
        <w:rPr>
          <w:color w:val="222222"/>
          <w:shd w:val="clear" w:color="auto" w:fill="FFFFFF"/>
        </w:rPr>
        <w:t xml:space="preserve">Do Water and Sanitation Practices Influence </w:t>
      </w:r>
      <w:proofErr w:type="spellStart"/>
      <w:r w:rsidR="00812D4D">
        <w:rPr>
          <w:color w:val="222222"/>
          <w:shd w:val="clear" w:color="auto" w:fill="FFFFFF"/>
        </w:rPr>
        <w:t>Undernutrition</w:t>
      </w:r>
      <w:proofErr w:type="spellEnd"/>
      <w:r w:rsidR="00812D4D">
        <w:rPr>
          <w:color w:val="222222"/>
          <w:shd w:val="clear" w:color="auto" w:fill="FFFFFF"/>
        </w:rPr>
        <w:t xml:space="preserve"> of Women in South Asian Region? A Study of Bangladesh, India and Nepal. Under Review.</w:t>
      </w:r>
    </w:p>
    <w:p w:rsidR="00354905" w:rsidRDefault="00354905" w:rsidP="00354905">
      <w:pPr>
        <w:numPr>
          <w:ilvl w:val="0"/>
          <w:numId w:val="1"/>
        </w:numPr>
        <w:ind w:left="720" w:hanging="360"/>
      </w:pPr>
      <w:r>
        <w:t xml:space="preserve">Hamid, S.A., </w:t>
      </w:r>
      <w:proofErr w:type="spellStart"/>
      <w:r>
        <w:t>Shimul</w:t>
      </w:r>
      <w:proofErr w:type="spellEnd"/>
      <w:r>
        <w:t xml:space="preserve">, S.N. &amp; </w:t>
      </w:r>
      <w:r w:rsidRPr="00220519">
        <w:rPr>
          <w:b/>
        </w:rPr>
        <w:t xml:space="preserve">Khanam, </w:t>
      </w:r>
      <w:proofErr w:type="gramStart"/>
      <w:r w:rsidRPr="00220519">
        <w:rPr>
          <w:b/>
        </w:rPr>
        <w:t>M</w:t>
      </w:r>
      <w:proofErr w:type="gramEnd"/>
      <w:r w:rsidRPr="00220519">
        <w:rPr>
          <w:b/>
        </w:rPr>
        <w:t>.</w:t>
      </w:r>
      <w:r>
        <w:rPr>
          <w:b/>
        </w:rPr>
        <w:t xml:space="preserve"> </w:t>
      </w:r>
      <w:r>
        <w:t>Barriers in Access to Health Care for the Marginalized Population in Bangladesh: A Study using Qualitative Technique. In progress.</w:t>
      </w:r>
    </w:p>
    <w:p w:rsidR="00354905" w:rsidRPr="004F332F" w:rsidRDefault="00354905" w:rsidP="00354905">
      <w:pPr>
        <w:numPr>
          <w:ilvl w:val="0"/>
          <w:numId w:val="1"/>
        </w:numPr>
        <w:ind w:left="720" w:hanging="360"/>
        <w:rPr>
          <w:rStyle w:val="il"/>
        </w:rPr>
      </w:pPr>
      <w:r>
        <w:t xml:space="preserve">Hamid, S.A., </w:t>
      </w:r>
      <w:r w:rsidRPr="00220519">
        <w:rPr>
          <w:b/>
        </w:rPr>
        <w:t>Khanam, M.</w:t>
      </w:r>
      <w:r>
        <w:rPr>
          <w:b/>
        </w:rPr>
        <w:t xml:space="preserve"> &amp; </w:t>
      </w:r>
      <w:proofErr w:type="spellStart"/>
      <w:r w:rsidRPr="00220519">
        <w:t>Azim</w:t>
      </w:r>
      <w:proofErr w:type="spellEnd"/>
      <w:r w:rsidRPr="00220519">
        <w:t>, R.</w:t>
      </w:r>
      <w:r>
        <w:t xml:space="preserve"> </w:t>
      </w:r>
      <w:r w:rsidRPr="004F332F">
        <w:rPr>
          <w:rStyle w:val="il"/>
          <w:bCs/>
          <w:color w:val="222222"/>
          <w:shd w:val="clear" w:color="auto" w:fill="FFFFFF"/>
        </w:rPr>
        <w:t>Health</w:t>
      </w:r>
      <w:r w:rsidRPr="004F332F">
        <w:rPr>
          <w:bCs/>
          <w:color w:val="222222"/>
          <w:shd w:val="clear" w:color="auto" w:fill="FFFFFF"/>
        </w:rPr>
        <w:t> </w:t>
      </w:r>
      <w:r w:rsidRPr="004F332F">
        <w:rPr>
          <w:rStyle w:val="il"/>
          <w:bCs/>
          <w:color w:val="222222"/>
          <w:shd w:val="clear" w:color="auto" w:fill="FFFFFF"/>
        </w:rPr>
        <w:t>Insurance</w:t>
      </w:r>
      <w:r w:rsidRPr="004F332F">
        <w:rPr>
          <w:bCs/>
          <w:color w:val="222222"/>
          <w:shd w:val="clear" w:color="auto" w:fill="FFFFFF"/>
        </w:rPr>
        <w:t> for University Students in Bangladesh: A Route to Stepping Towards Social </w:t>
      </w:r>
      <w:r w:rsidRPr="004F332F">
        <w:rPr>
          <w:rStyle w:val="il"/>
          <w:bCs/>
          <w:color w:val="222222"/>
          <w:shd w:val="clear" w:color="auto" w:fill="FFFFFF"/>
        </w:rPr>
        <w:t>Health</w:t>
      </w:r>
      <w:r w:rsidRPr="004F332F">
        <w:rPr>
          <w:bCs/>
          <w:color w:val="222222"/>
          <w:shd w:val="clear" w:color="auto" w:fill="FFFFFF"/>
        </w:rPr>
        <w:t> </w:t>
      </w:r>
      <w:r w:rsidRPr="004F332F">
        <w:rPr>
          <w:rStyle w:val="il"/>
          <w:bCs/>
          <w:color w:val="222222"/>
          <w:shd w:val="clear" w:color="auto" w:fill="FFFFFF"/>
        </w:rPr>
        <w:t>Insurance</w:t>
      </w:r>
      <w:r>
        <w:rPr>
          <w:rStyle w:val="il"/>
          <w:bCs/>
          <w:color w:val="222222"/>
          <w:shd w:val="clear" w:color="auto" w:fill="FFFFFF"/>
        </w:rPr>
        <w:t>. Under Review.</w:t>
      </w:r>
    </w:p>
    <w:p w:rsidR="00354905" w:rsidRPr="00812D4D" w:rsidRDefault="00354905" w:rsidP="00354905">
      <w:pPr>
        <w:numPr>
          <w:ilvl w:val="0"/>
          <w:numId w:val="1"/>
        </w:numPr>
        <w:ind w:left="720" w:hanging="360"/>
      </w:pPr>
      <w:proofErr w:type="spellStart"/>
      <w:r>
        <w:t>Alam</w:t>
      </w:r>
      <w:proofErr w:type="spellEnd"/>
      <w:r>
        <w:t xml:space="preserve">, Z.A., </w:t>
      </w:r>
      <w:r w:rsidRPr="004F332F">
        <w:rPr>
          <w:b/>
        </w:rPr>
        <w:t>Khanam, M.</w:t>
      </w:r>
      <w:r>
        <w:t xml:space="preserve"> &amp; </w:t>
      </w:r>
      <w:proofErr w:type="spellStart"/>
      <w:r>
        <w:t>Hasan</w:t>
      </w:r>
      <w:proofErr w:type="spellEnd"/>
      <w:r>
        <w:t xml:space="preserve">, M. Adolescent Motherhood and Health Status of Children in </w:t>
      </w:r>
      <w:proofErr w:type="spellStart"/>
      <w:r>
        <w:t>Bnagladesh</w:t>
      </w:r>
      <w:proofErr w:type="spellEnd"/>
      <w:r>
        <w:t>: A study using a Nationally Representative Sample. Under Review.</w:t>
      </w:r>
    </w:p>
    <w:p w:rsidR="00B92686" w:rsidRPr="00A46418" w:rsidRDefault="00B92686" w:rsidP="00B92686">
      <w:pPr>
        <w:ind w:left="720" w:firstLine="0"/>
      </w:pPr>
    </w:p>
    <w:p w:rsidR="00163570" w:rsidRPr="00A46418" w:rsidRDefault="001D044B" w:rsidP="00163570">
      <w:pPr>
        <w:ind w:left="0" w:firstLine="0"/>
        <w:rPr>
          <w:b/>
          <w:i/>
        </w:rPr>
      </w:pPr>
      <w:r>
        <w:rPr>
          <w:b/>
          <w:i/>
        </w:rPr>
        <w:t>Project Involvement</w:t>
      </w:r>
      <w:r w:rsidR="00163570" w:rsidRPr="00A46418">
        <w:rPr>
          <w:b/>
          <w:i/>
        </w:rPr>
        <w:t xml:space="preserve">  </w:t>
      </w:r>
    </w:p>
    <w:p w:rsidR="00812D4D" w:rsidRDefault="00812D4D" w:rsidP="00812D4D">
      <w:pPr>
        <w:numPr>
          <w:ilvl w:val="0"/>
          <w:numId w:val="1"/>
        </w:numPr>
        <w:ind w:left="720" w:hanging="360"/>
      </w:pPr>
      <w:r>
        <w:t>Working as a Research Associate on a project titled</w:t>
      </w:r>
      <w:r>
        <w:rPr>
          <w:b/>
        </w:rPr>
        <w:t xml:space="preserve"> </w:t>
      </w:r>
      <w:r>
        <w:t xml:space="preserve">“Evaluation of Community-based Health System Strengthening Program in UNICEF Supported Areas of Bangladesh” funded by UNICEF.  </w:t>
      </w:r>
      <w:r>
        <w:rPr>
          <w:b/>
        </w:rPr>
        <w:t xml:space="preserve"> </w:t>
      </w:r>
    </w:p>
    <w:p w:rsidR="00163570" w:rsidRPr="00A46418" w:rsidRDefault="00B92686" w:rsidP="00163570">
      <w:pPr>
        <w:numPr>
          <w:ilvl w:val="0"/>
          <w:numId w:val="1"/>
        </w:numPr>
        <w:ind w:left="720" w:hanging="360"/>
        <w:rPr>
          <w:lang w:val="en-GB"/>
        </w:rPr>
      </w:pPr>
      <w:r>
        <w:t>Worked</w:t>
      </w:r>
      <w:r w:rsidR="00163570">
        <w:t xml:space="preserve"> as a Co-Investigator on a project titled “</w:t>
      </w:r>
      <w:r w:rsidR="00163570" w:rsidRPr="00A46418">
        <w:t>Ensuring healthy environment for workers’ safety amid Covid-19: </w:t>
      </w:r>
      <w:r w:rsidR="00163570" w:rsidRPr="00A46418">
        <w:rPr>
          <w:lang w:val="en-GB"/>
        </w:rPr>
        <w:t>A model for RMG sector</w:t>
      </w:r>
      <w:r w:rsidR="00163570">
        <w:rPr>
          <w:lang w:val="en-GB"/>
        </w:rPr>
        <w:t>.” Wor</w:t>
      </w:r>
      <w:r>
        <w:rPr>
          <w:lang w:val="en-GB"/>
        </w:rPr>
        <w:t>king Period: April 2020-June 2020</w:t>
      </w:r>
      <w:r w:rsidR="00163570">
        <w:rPr>
          <w:lang w:val="en-GB"/>
        </w:rPr>
        <w:t xml:space="preserve">. Major roles involve designing the survey, preparing data collection instruments, </w:t>
      </w:r>
      <w:r>
        <w:rPr>
          <w:lang w:val="en-GB"/>
        </w:rPr>
        <w:t>data collection</w:t>
      </w:r>
      <w:r w:rsidR="00163570">
        <w:rPr>
          <w:lang w:val="en-GB"/>
        </w:rPr>
        <w:t>, data analysis, report writing and development of a suitable model for the social, economic and healthy environment for the RMG workers in Bangladesh.</w:t>
      </w:r>
    </w:p>
    <w:p w:rsidR="00163570" w:rsidRPr="00253DF3" w:rsidRDefault="00163570" w:rsidP="00163570">
      <w:pPr>
        <w:numPr>
          <w:ilvl w:val="0"/>
          <w:numId w:val="1"/>
        </w:numPr>
        <w:ind w:left="720" w:hanging="360"/>
      </w:pPr>
      <w:r>
        <w:t xml:space="preserve">Worked as a Co-Investigator on a project titled “Development of Health Insurance Model for the </w:t>
      </w:r>
      <w:proofErr w:type="spellStart"/>
      <w:r>
        <w:t>Emptiers</w:t>
      </w:r>
      <w:proofErr w:type="spellEnd"/>
      <w:r>
        <w:t xml:space="preserve"> (Cleaners) in Bangladesh”</w:t>
      </w:r>
      <w:r w:rsidRPr="00253DF3">
        <w:rPr>
          <w:b/>
        </w:rPr>
        <w:t xml:space="preserve"> </w:t>
      </w:r>
      <w:r>
        <w:t>funded by SNV Netherlands. Working period: April 2019 to September 2019.</w:t>
      </w:r>
      <w:r w:rsidRPr="00253DF3">
        <w:rPr>
          <w:b/>
        </w:rPr>
        <w:t xml:space="preserve"> </w:t>
      </w:r>
      <w:r w:rsidRPr="00253DF3">
        <w:rPr>
          <w:lang w:val="en-GB"/>
        </w:rPr>
        <w:t xml:space="preserve">Major roles </w:t>
      </w:r>
      <w:r w:rsidR="00B92686" w:rsidRPr="00253DF3">
        <w:rPr>
          <w:lang w:val="en-GB"/>
        </w:rPr>
        <w:t>encompasses</w:t>
      </w:r>
      <w:r w:rsidRPr="00253DF3">
        <w:rPr>
          <w:lang w:val="en-GB"/>
        </w:rPr>
        <w:t xml:space="preserve"> designing the survey, preparing data collection instruments, conducting a willingness to pay survey, data analysis, report writing and development </w:t>
      </w:r>
      <w:r>
        <w:rPr>
          <w:lang w:val="en-GB"/>
        </w:rPr>
        <w:t>of a health insurance model for the cle</w:t>
      </w:r>
      <w:r w:rsidR="00B92686">
        <w:rPr>
          <w:lang w:val="en-GB"/>
        </w:rPr>
        <w:t>a</w:t>
      </w:r>
      <w:r>
        <w:rPr>
          <w:lang w:val="en-GB"/>
        </w:rPr>
        <w:t>ners in Bangladesh.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Worked as Research Assistant on a project titled “Health Financing Models of SNV for Readymade Garment Workers in Bangladesh: A Comparative Study”. Working period: March 2018- June 2018. Major roles were to develop questionnaire and checklists for interviews, facilitate to conduct the survey, data entry, analyzing the data and contribute to draft report. </w:t>
      </w:r>
    </w:p>
    <w:p w:rsidR="00163570" w:rsidRDefault="00163570" w:rsidP="00163570">
      <w:pPr>
        <w:spacing w:after="0" w:line="240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:rsidR="00163570" w:rsidRDefault="00163570" w:rsidP="00163570">
      <w:pPr>
        <w:spacing w:after="78" w:line="240" w:lineRule="auto"/>
        <w:ind w:right="-15"/>
        <w:jc w:val="left"/>
      </w:pPr>
      <w:r>
        <w:rPr>
          <w:b/>
          <w:i/>
        </w:rPr>
        <w:t>MSS Thesis and BSS Internship Report</w:t>
      </w:r>
    </w:p>
    <w:p w:rsidR="00163570" w:rsidRDefault="00163570" w:rsidP="00163570">
      <w:pPr>
        <w:numPr>
          <w:ilvl w:val="0"/>
          <w:numId w:val="1"/>
        </w:numPr>
        <w:spacing w:after="74"/>
        <w:ind w:left="720" w:hanging="360"/>
      </w:pPr>
      <w:r>
        <w:rPr>
          <w:b/>
        </w:rPr>
        <w:t>MSS Thesis:</w:t>
      </w:r>
      <w:r>
        <w:t xml:space="preserve"> “Determinants of Maternal Care Utilization in a Rural Area of Bangladesh: A Case Study of </w:t>
      </w:r>
      <w:proofErr w:type="spellStart"/>
      <w:r>
        <w:t>Udaypur</w:t>
      </w:r>
      <w:proofErr w:type="spellEnd"/>
      <w:r>
        <w:t xml:space="preserve"> </w:t>
      </w:r>
      <w:proofErr w:type="spellStart"/>
      <w:r>
        <w:t>Aruakandi</w:t>
      </w:r>
      <w:proofErr w:type="spellEnd"/>
      <w:r>
        <w:t xml:space="preserve"> Village of </w:t>
      </w:r>
      <w:proofErr w:type="spellStart"/>
      <w:r>
        <w:t>Bagerhat</w:t>
      </w:r>
      <w:proofErr w:type="spellEnd"/>
      <w:r>
        <w:t xml:space="preserve"> District”. </w:t>
      </w:r>
    </w:p>
    <w:p w:rsidR="00560872" w:rsidRPr="00354905" w:rsidRDefault="00163570" w:rsidP="00354905">
      <w:pPr>
        <w:numPr>
          <w:ilvl w:val="0"/>
          <w:numId w:val="1"/>
        </w:numPr>
        <w:ind w:left="720" w:hanging="360"/>
      </w:pPr>
      <w:r>
        <w:rPr>
          <w:b/>
        </w:rPr>
        <w:t>BSS Internship Report:</w:t>
      </w:r>
      <w:r>
        <w:t xml:space="preserve"> “Assessment of Quality of Maternal Health Care Services: A Case Study of </w:t>
      </w:r>
      <w:proofErr w:type="spellStart"/>
      <w:r>
        <w:t>Mollahat</w:t>
      </w:r>
      <w:proofErr w:type="spellEnd"/>
      <w:r>
        <w:t xml:space="preserve"> </w:t>
      </w:r>
      <w:proofErr w:type="spellStart"/>
      <w:r>
        <w:t>Upazila</w:t>
      </w:r>
      <w:proofErr w:type="spellEnd"/>
      <w:r>
        <w:t xml:space="preserve"> Health Complex, </w:t>
      </w:r>
      <w:proofErr w:type="spellStart"/>
      <w:r>
        <w:t>Bagerhat</w:t>
      </w:r>
      <w:proofErr w:type="spellEnd"/>
      <w:r>
        <w:t xml:space="preserve">, Bangladesh”. </w:t>
      </w:r>
    </w:p>
    <w:p w:rsidR="00560872" w:rsidRDefault="00560872" w:rsidP="00163570">
      <w:pPr>
        <w:spacing w:after="14" w:line="240" w:lineRule="auto"/>
        <w:ind w:right="-15"/>
        <w:jc w:val="left"/>
        <w:rPr>
          <w:b/>
        </w:rPr>
      </w:pPr>
    </w:p>
    <w:p w:rsidR="00163570" w:rsidRDefault="00163570" w:rsidP="00163570">
      <w:pPr>
        <w:spacing w:after="14" w:line="240" w:lineRule="auto"/>
        <w:ind w:right="-15"/>
        <w:jc w:val="left"/>
      </w:pPr>
      <w:r>
        <w:rPr>
          <w:b/>
        </w:rPr>
        <w:t>Membership</w:t>
      </w:r>
    </w:p>
    <w:p w:rsidR="001B576B" w:rsidRDefault="001B576B" w:rsidP="00163570">
      <w:pPr>
        <w:numPr>
          <w:ilvl w:val="0"/>
          <w:numId w:val="1"/>
        </w:numPr>
        <w:ind w:left="720" w:hanging="360"/>
      </w:pPr>
      <w:r>
        <w:t>Member, Committee of Overseeing Students Health Insurance Program, Institute of Health Economics, University of Dhaka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>Member, Bangladesh Health Economics Forum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Member, Academic Committee, Institute of Health Economics, Dhaka University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Member, Dhaka University Teachers’ Club, Dhaka University 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 xml:space="preserve">Member, Examinations Committee, Institute of Health Economics, Dhaka University  </w:t>
      </w:r>
    </w:p>
    <w:p w:rsidR="00163570" w:rsidRDefault="00163570" w:rsidP="00163570">
      <w:pPr>
        <w:numPr>
          <w:ilvl w:val="0"/>
          <w:numId w:val="1"/>
        </w:numPr>
        <w:spacing w:after="3" w:line="240" w:lineRule="auto"/>
        <w:ind w:left="720" w:hanging="360"/>
      </w:pPr>
      <w:r>
        <w:t xml:space="preserve">Member, Question Moderation Committee, Institute of Health Economics, Dhaka University  </w:t>
      </w:r>
    </w:p>
    <w:p w:rsidR="001B576B" w:rsidRDefault="001B576B" w:rsidP="001B576B">
      <w:pPr>
        <w:spacing w:after="3" w:line="240" w:lineRule="auto"/>
        <w:ind w:left="720" w:firstLine="0"/>
      </w:pPr>
    </w:p>
    <w:p w:rsidR="00163570" w:rsidRDefault="00163570" w:rsidP="00163570">
      <w:pPr>
        <w:spacing w:after="14" w:line="240" w:lineRule="auto"/>
        <w:ind w:right="-15"/>
        <w:jc w:val="left"/>
      </w:pPr>
      <w:r>
        <w:rPr>
          <w:b/>
        </w:rPr>
        <w:t>Professional Trainings received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>A five day training on ‘Bangladesh Flagship Based Course on Health Systems Strengthening and Universal Health Coverage’ arranged by Health Economics Unit, Ministry of Health and Family Welfare (</w:t>
      </w:r>
      <w:proofErr w:type="spellStart"/>
      <w:r>
        <w:t>MoHFW</w:t>
      </w:r>
      <w:proofErr w:type="spellEnd"/>
      <w:r>
        <w:t xml:space="preserve">) with the support of WHO, WB, UKAID, BRAC School of Public Health held during 20-25 October, 2018. </w:t>
      </w:r>
    </w:p>
    <w:p w:rsidR="00163570" w:rsidRDefault="00163570" w:rsidP="00163570">
      <w:pPr>
        <w:numPr>
          <w:ilvl w:val="0"/>
          <w:numId w:val="1"/>
        </w:numPr>
        <w:ind w:left="720" w:hanging="360"/>
      </w:pPr>
      <w:r>
        <w:t>A seven day training on ‘Gender Analysis of Public Expenditure Review (PER)’ arranged by Health Economics Unit, Ministry of Health and Family Welfare, Bangladesh held during 01-07 December, 2016.</w:t>
      </w:r>
    </w:p>
    <w:p w:rsidR="00163570" w:rsidRDefault="00163570" w:rsidP="00163570">
      <w:pPr>
        <w:ind w:left="0" w:firstLine="0"/>
      </w:pPr>
    </w:p>
    <w:p w:rsidR="00163570" w:rsidRDefault="00163570" w:rsidP="00163570">
      <w:pPr>
        <w:spacing w:after="3" w:line="240" w:lineRule="auto"/>
        <w:ind w:left="0" w:firstLine="0"/>
        <w:rPr>
          <w:b/>
          <w:sz w:val="24"/>
        </w:rPr>
      </w:pPr>
      <w:bookmarkStart w:id="0" w:name="_GoBack"/>
      <w:bookmarkEnd w:id="0"/>
    </w:p>
    <w:sectPr w:rsidR="0016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105"/>
    <w:multiLevelType w:val="hybridMultilevel"/>
    <w:tmpl w:val="99E8E9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25927"/>
    <w:multiLevelType w:val="hybridMultilevel"/>
    <w:tmpl w:val="104A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D3776"/>
    <w:multiLevelType w:val="hybridMultilevel"/>
    <w:tmpl w:val="2918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2337"/>
    <w:multiLevelType w:val="hybridMultilevel"/>
    <w:tmpl w:val="5D88BDE0"/>
    <w:lvl w:ilvl="0" w:tplc="E408818A">
      <w:start w:val="1"/>
      <w:numFmt w:val="bullet"/>
      <w:lvlText w:val="•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82B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817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6E2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E17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87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5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36C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0D2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c3M7Q0MzMxtTBW0lEKTi0uzszPAykwqgUAi9yO5SwAAAA="/>
  </w:docVars>
  <w:rsids>
    <w:rsidRoot w:val="00163570"/>
    <w:rsid w:val="00015617"/>
    <w:rsid w:val="00163570"/>
    <w:rsid w:val="001B546C"/>
    <w:rsid w:val="001B576B"/>
    <w:rsid w:val="001D044B"/>
    <w:rsid w:val="00265D5E"/>
    <w:rsid w:val="003414F6"/>
    <w:rsid w:val="00354905"/>
    <w:rsid w:val="004A4504"/>
    <w:rsid w:val="00560872"/>
    <w:rsid w:val="007B500E"/>
    <w:rsid w:val="00812D4D"/>
    <w:rsid w:val="00835458"/>
    <w:rsid w:val="00946222"/>
    <w:rsid w:val="00A62A36"/>
    <w:rsid w:val="00B92686"/>
    <w:rsid w:val="00D13704"/>
    <w:rsid w:val="00D602F6"/>
    <w:rsid w:val="00DB33C8"/>
    <w:rsid w:val="00E265C7"/>
    <w:rsid w:val="00E853CC"/>
    <w:rsid w:val="00E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905E-6AED-4FED-93EE-9E4A92E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70"/>
    <w:pPr>
      <w:spacing w:after="12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35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635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570"/>
    <w:pPr>
      <w:ind w:left="720"/>
      <w:contextualSpacing/>
    </w:pPr>
  </w:style>
  <w:style w:type="character" w:customStyle="1" w:styleId="il">
    <w:name w:val="il"/>
    <w:basedOn w:val="DefaultParagraphFont"/>
    <w:rsid w:val="00812D4D"/>
  </w:style>
  <w:style w:type="character" w:styleId="Hyperlink">
    <w:name w:val="Hyperlink"/>
    <w:basedOn w:val="DefaultParagraphFont"/>
    <w:uiPriority w:val="99"/>
    <w:unhideWhenUsed/>
    <w:rsid w:val="00812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86/s12905-020-01135-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Moriam Khanam</dc:creator>
  <cp:keywords/>
  <dc:description/>
  <cp:lastModifiedBy>Moriam Khanam</cp:lastModifiedBy>
  <cp:revision>2</cp:revision>
  <cp:lastPrinted>2020-10-05T13:50:00Z</cp:lastPrinted>
  <dcterms:created xsi:type="dcterms:W3CDTF">2020-11-30T17:48:00Z</dcterms:created>
  <dcterms:modified xsi:type="dcterms:W3CDTF">2020-11-30T17:48:00Z</dcterms:modified>
</cp:coreProperties>
</file>